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436-2804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Стройнефтьгазснаб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Черкашина Андрея Александровича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Черкашин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Стройнефтьгазснаб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пер. Курортный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Черкашин А.А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Черкашин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Черкашин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Черкашин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Стройнефтьгазснаб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Черкашина Андрея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0171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